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25 November 2024</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Flushing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26 November 2024. The lead inspector will be Mark Burgess.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26 November 2024 as this will give the inspection team more time to consider your views. However, we will consider all online responses that are completed during the inspection, although the free-text box facility will not be available after noon on 27 November 2024.</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03000131405.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Elea Fostier</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03000131405</w:t>
          </w:r>
        </w:p>
        <w:p>
          <w:pPr>
            <w:pStyle w:val="Normal"/>
            <w:bidi w:val="0"/>
            <w:jc w:val="start"/>
            <w:rPr>
              <w:rFonts w:ascii="Tahoma" w:hAnsi="Tahoma"/>
              <w:sz w:val="20"/>
            </w:rPr>
          </w:pPr>
          <w:hyperlink r:id="rId3">
            <w:r>
              <w:rPr>
                <w:rStyle w:val="Hyperlink"/>
                <w:b w:val="false"/>
                <w:color w:val="0000FF"/>
                <w:sz w:val="20"/>
                <w:u w:val="none"/>
              </w:rPr>
              <w:t>Elea.Fostier@ofsted.gov.uk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Elea.Fostier@ofsted.gov.uk" TargetMode="External"/><Relationship Id="rId4"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