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3" w:type="dxa"/>
        <w:tblLook w:val="04A0" w:firstRow="1" w:lastRow="0" w:firstColumn="1" w:lastColumn="0" w:noHBand="0" w:noVBand="1"/>
      </w:tblPr>
      <w:tblGrid>
        <w:gridCol w:w="1809"/>
        <w:gridCol w:w="2878"/>
        <w:gridCol w:w="4687"/>
        <w:gridCol w:w="4687"/>
      </w:tblGrid>
      <w:tr w:rsidR="00F9675B" w14:paraId="0FC978B3" w14:textId="77777777" w:rsidTr="00AF7B69">
        <w:tc>
          <w:tcPr>
            <w:tcW w:w="1809" w:type="dxa"/>
          </w:tcPr>
          <w:p w14:paraId="7936B1A0" w14:textId="7B906F91" w:rsidR="00F9675B" w:rsidRDefault="00F9675B">
            <w:r>
              <w:rPr>
                <w:noProof/>
              </w:rPr>
              <w:drawing>
                <wp:inline distT="0" distB="0" distL="0" distR="0" wp14:anchorId="48E95438" wp14:editId="1DB24189">
                  <wp:extent cx="962403" cy="868680"/>
                  <wp:effectExtent l="0" t="0" r="9525" b="7620"/>
                  <wp:docPr id="101773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6377" cy="881294"/>
                          </a:xfrm>
                          <a:prstGeom prst="rect">
                            <a:avLst/>
                          </a:prstGeom>
                          <a:noFill/>
                        </pic:spPr>
                      </pic:pic>
                    </a:graphicData>
                  </a:graphic>
                </wp:inline>
              </w:drawing>
            </w:r>
          </w:p>
        </w:tc>
        <w:tc>
          <w:tcPr>
            <w:tcW w:w="12252" w:type="dxa"/>
            <w:gridSpan w:val="3"/>
          </w:tcPr>
          <w:p w14:paraId="4249442E" w14:textId="742E9DC2" w:rsidR="00F9675B" w:rsidRDefault="00F9675B" w:rsidP="00444075">
            <w:pPr>
              <w:jc w:val="center"/>
            </w:pPr>
            <w:r>
              <w:rPr>
                <w:b/>
                <w:bCs/>
                <w:sz w:val="40"/>
                <w:szCs w:val="40"/>
              </w:rPr>
              <w:t>RE   -</w:t>
            </w:r>
            <w:r w:rsidRPr="00E239C0">
              <w:rPr>
                <w:b/>
                <w:bCs/>
                <w:sz w:val="40"/>
                <w:szCs w:val="40"/>
              </w:rPr>
              <w:t xml:space="preserve"> PROGRESSION OF SKILLS &amp; KNOWLEDGE</w:t>
            </w:r>
          </w:p>
        </w:tc>
      </w:tr>
      <w:tr w:rsidR="00E239C0" w14:paraId="1B4350FC" w14:textId="77777777" w:rsidTr="009F28B2">
        <w:tc>
          <w:tcPr>
            <w:tcW w:w="14061" w:type="dxa"/>
            <w:gridSpan w:val="4"/>
          </w:tcPr>
          <w:p w14:paraId="6A403979" w14:textId="77777777" w:rsidR="00E239C0" w:rsidRPr="00C7018D" w:rsidRDefault="00E239C0">
            <w:pPr>
              <w:rPr>
                <w:b/>
                <w:bCs/>
                <w:sz w:val="36"/>
                <w:szCs w:val="36"/>
              </w:rPr>
            </w:pPr>
            <w:r w:rsidRPr="00C7018D">
              <w:rPr>
                <w:b/>
                <w:bCs/>
                <w:sz w:val="36"/>
                <w:szCs w:val="36"/>
              </w:rPr>
              <w:t>Introduction</w:t>
            </w:r>
          </w:p>
          <w:p w14:paraId="062AE617" w14:textId="77777777" w:rsidR="002D25C2" w:rsidRDefault="002D25C2" w:rsidP="002D25C2">
            <w:r>
              <w:t xml:space="preserve">An overview of the skills and knowledge covered in each year group and strand and how these are developed through </w:t>
            </w:r>
            <w:proofErr w:type="gramStart"/>
            <w:r>
              <w:t>our</w:t>
            </w:r>
            <w:proofErr w:type="gramEnd"/>
          </w:p>
          <w:p w14:paraId="7F52819D" w14:textId="1413370D" w:rsidR="00E239C0" w:rsidRDefault="00F9675B" w:rsidP="002D25C2">
            <w:r>
              <w:t xml:space="preserve">RE </w:t>
            </w:r>
            <w:r w:rsidR="002D25C2">
              <w:t>scheme of work.</w:t>
            </w:r>
          </w:p>
        </w:tc>
      </w:tr>
      <w:tr w:rsidR="00FD1409" w14:paraId="0C052877" w14:textId="77777777" w:rsidTr="009F28B2">
        <w:tc>
          <w:tcPr>
            <w:tcW w:w="14061" w:type="dxa"/>
            <w:gridSpan w:val="4"/>
          </w:tcPr>
          <w:p w14:paraId="51CD4129" w14:textId="5CACA0DF" w:rsidR="0003576F" w:rsidRDefault="00F9675B">
            <w:pPr>
              <w:rPr>
                <w:b/>
                <w:bCs/>
                <w:sz w:val="36"/>
                <w:szCs w:val="36"/>
              </w:rPr>
            </w:pPr>
            <w:r>
              <w:rPr>
                <w:b/>
                <w:bCs/>
                <w:sz w:val="36"/>
                <w:szCs w:val="36"/>
              </w:rPr>
              <w:t>RE</w:t>
            </w:r>
            <w:r w:rsidR="00FD1409" w:rsidRPr="00C7018D">
              <w:rPr>
                <w:b/>
                <w:bCs/>
                <w:sz w:val="36"/>
                <w:szCs w:val="36"/>
              </w:rPr>
              <w:t xml:space="preserve"> Concepts:</w:t>
            </w:r>
          </w:p>
          <w:p w14:paraId="4497BB9C" w14:textId="5C14D925" w:rsidR="00FD1409" w:rsidRDefault="00FD1409"/>
        </w:tc>
      </w:tr>
      <w:tr w:rsidR="00742913" w14:paraId="52A6C5D0" w14:textId="77777777" w:rsidTr="00BA5165">
        <w:tc>
          <w:tcPr>
            <w:tcW w:w="4687" w:type="dxa"/>
            <w:gridSpan w:val="2"/>
          </w:tcPr>
          <w:p w14:paraId="11B328FB" w14:textId="77777777" w:rsidR="00742913" w:rsidRDefault="00595257" w:rsidP="00595257">
            <w:pPr>
              <w:jc w:val="center"/>
              <w:rPr>
                <w:b/>
                <w:bCs/>
                <w:sz w:val="36"/>
                <w:szCs w:val="36"/>
              </w:rPr>
            </w:pPr>
            <w:r w:rsidRPr="00444075">
              <w:rPr>
                <w:b/>
                <w:bCs/>
                <w:color w:val="7030A0"/>
                <w:sz w:val="36"/>
                <w:szCs w:val="36"/>
              </w:rPr>
              <w:t>Making Sense of Beliefs</w:t>
            </w:r>
          </w:p>
          <w:p w14:paraId="4593749C" w14:textId="1AAFBA42" w:rsidR="001E23A4" w:rsidRDefault="00EC2E4E" w:rsidP="00595257">
            <w:pPr>
              <w:jc w:val="center"/>
              <w:rPr>
                <w:b/>
                <w:bCs/>
                <w:sz w:val="36"/>
                <w:szCs w:val="36"/>
              </w:rPr>
            </w:pPr>
            <w:r>
              <w:rPr>
                <w:b/>
                <w:bCs/>
                <w:noProof/>
                <w:sz w:val="36"/>
                <w:szCs w:val="36"/>
              </w:rPr>
              <w:drawing>
                <wp:inline distT="0" distB="0" distL="0" distR="0" wp14:anchorId="1C816F90" wp14:editId="6F0FAFC8">
                  <wp:extent cx="692150" cy="865720"/>
                  <wp:effectExtent l="0" t="0" r="0" b="0"/>
                  <wp:docPr id="996072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542" cy="874966"/>
                          </a:xfrm>
                          <a:prstGeom prst="rect">
                            <a:avLst/>
                          </a:prstGeom>
                          <a:noFill/>
                        </pic:spPr>
                      </pic:pic>
                    </a:graphicData>
                  </a:graphic>
                </wp:inline>
              </w:drawing>
            </w:r>
          </w:p>
        </w:tc>
        <w:tc>
          <w:tcPr>
            <w:tcW w:w="4687" w:type="dxa"/>
          </w:tcPr>
          <w:p w14:paraId="4826E1B7" w14:textId="77777777" w:rsidR="00742913" w:rsidRPr="00444075" w:rsidRDefault="00595257" w:rsidP="00595257">
            <w:pPr>
              <w:jc w:val="center"/>
              <w:rPr>
                <w:b/>
                <w:bCs/>
                <w:color w:val="EE0000"/>
                <w:sz w:val="36"/>
                <w:szCs w:val="36"/>
              </w:rPr>
            </w:pPr>
            <w:r w:rsidRPr="00444075">
              <w:rPr>
                <w:b/>
                <w:bCs/>
                <w:color w:val="EE0000"/>
                <w:sz w:val="36"/>
                <w:szCs w:val="36"/>
              </w:rPr>
              <w:t>Understanding the Impact</w:t>
            </w:r>
          </w:p>
          <w:p w14:paraId="44ED53F2" w14:textId="02C8AB17" w:rsidR="00444075" w:rsidRDefault="00444075" w:rsidP="00595257">
            <w:pPr>
              <w:jc w:val="center"/>
              <w:rPr>
                <w:b/>
                <w:bCs/>
                <w:sz w:val="36"/>
                <w:szCs w:val="36"/>
              </w:rPr>
            </w:pPr>
            <w:r>
              <w:rPr>
                <w:b/>
                <w:bCs/>
                <w:noProof/>
                <w:sz w:val="36"/>
                <w:szCs w:val="36"/>
              </w:rPr>
              <w:drawing>
                <wp:inline distT="0" distB="0" distL="0" distR="0" wp14:anchorId="2B524304" wp14:editId="75D914A3">
                  <wp:extent cx="640715" cy="648824"/>
                  <wp:effectExtent l="0" t="0" r="6985" b="0"/>
                  <wp:docPr id="2143227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691" cy="656901"/>
                          </a:xfrm>
                          <a:prstGeom prst="rect">
                            <a:avLst/>
                          </a:prstGeom>
                          <a:noFill/>
                        </pic:spPr>
                      </pic:pic>
                    </a:graphicData>
                  </a:graphic>
                </wp:inline>
              </w:drawing>
            </w:r>
          </w:p>
        </w:tc>
        <w:tc>
          <w:tcPr>
            <w:tcW w:w="4687" w:type="dxa"/>
          </w:tcPr>
          <w:p w14:paraId="09802842" w14:textId="77777777" w:rsidR="00742913" w:rsidRPr="00444075" w:rsidRDefault="00595257" w:rsidP="00595257">
            <w:pPr>
              <w:jc w:val="center"/>
              <w:rPr>
                <w:b/>
                <w:bCs/>
                <w:color w:val="00B050"/>
                <w:sz w:val="36"/>
                <w:szCs w:val="36"/>
              </w:rPr>
            </w:pPr>
            <w:r w:rsidRPr="00444075">
              <w:rPr>
                <w:b/>
                <w:bCs/>
                <w:color w:val="00B050"/>
                <w:sz w:val="36"/>
                <w:szCs w:val="36"/>
              </w:rPr>
              <w:t>Making Connections</w:t>
            </w:r>
          </w:p>
          <w:p w14:paraId="0A935EC1" w14:textId="47163089" w:rsidR="00444075" w:rsidRDefault="00444075" w:rsidP="00595257">
            <w:pPr>
              <w:jc w:val="center"/>
              <w:rPr>
                <w:b/>
                <w:bCs/>
                <w:sz w:val="36"/>
                <w:szCs w:val="36"/>
              </w:rPr>
            </w:pPr>
            <w:r>
              <w:rPr>
                <w:b/>
                <w:bCs/>
                <w:noProof/>
                <w:sz w:val="36"/>
                <w:szCs w:val="36"/>
              </w:rPr>
              <w:drawing>
                <wp:inline distT="0" distB="0" distL="0" distR="0" wp14:anchorId="3915291B" wp14:editId="646AF22A">
                  <wp:extent cx="749651" cy="708660"/>
                  <wp:effectExtent l="0" t="0" r="0" b="0"/>
                  <wp:docPr id="1728657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60205" cy="718637"/>
                          </a:xfrm>
                          <a:prstGeom prst="rect">
                            <a:avLst/>
                          </a:prstGeom>
                          <a:noFill/>
                        </pic:spPr>
                      </pic:pic>
                    </a:graphicData>
                  </a:graphic>
                </wp:inline>
              </w:drawing>
            </w:r>
          </w:p>
        </w:tc>
      </w:tr>
    </w:tbl>
    <w:p w14:paraId="111624A5" w14:textId="77777777" w:rsidR="00426A49" w:rsidRDefault="00426A49" w:rsidP="00595257">
      <w:pPr>
        <w:jc w:val="center"/>
      </w:pPr>
    </w:p>
    <w:p w14:paraId="35AC674D" w14:textId="77777777" w:rsidR="00742913" w:rsidRDefault="00742913"/>
    <w:tbl>
      <w:tblPr>
        <w:tblStyle w:val="TableGrid"/>
        <w:tblW w:w="0" w:type="auto"/>
        <w:tblLook w:val="04A0" w:firstRow="1" w:lastRow="0" w:firstColumn="1" w:lastColumn="0" w:noHBand="0" w:noVBand="1"/>
      </w:tblPr>
      <w:tblGrid>
        <w:gridCol w:w="3487"/>
        <w:gridCol w:w="3487"/>
        <w:gridCol w:w="3487"/>
        <w:gridCol w:w="3487"/>
      </w:tblGrid>
      <w:tr w:rsidR="00F9675B" w14:paraId="3A58AC2A" w14:textId="77777777" w:rsidTr="00F9675B">
        <w:tc>
          <w:tcPr>
            <w:tcW w:w="3487" w:type="dxa"/>
          </w:tcPr>
          <w:p w14:paraId="5F39911E" w14:textId="37C1255B" w:rsidR="00F9675B" w:rsidRDefault="00F9675B">
            <w:r>
              <w:t>Element</w:t>
            </w:r>
          </w:p>
        </w:tc>
        <w:tc>
          <w:tcPr>
            <w:tcW w:w="3487" w:type="dxa"/>
          </w:tcPr>
          <w:p w14:paraId="72D6E553" w14:textId="77777777" w:rsidR="00F9675B" w:rsidRDefault="00742913">
            <w:r>
              <w:t xml:space="preserve">End of KS1 </w:t>
            </w:r>
          </w:p>
          <w:p w14:paraId="3E8115EC" w14:textId="77C04479" w:rsidR="00742913" w:rsidRDefault="00742913">
            <w:r>
              <w:t>Pupils can:</w:t>
            </w:r>
          </w:p>
        </w:tc>
        <w:tc>
          <w:tcPr>
            <w:tcW w:w="3487" w:type="dxa"/>
          </w:tcPr>
          <w:p w14:paraId="08D78DD9" w14:textId="5335B348" w:rsidR="00742913" w:rsidRDefault="00742913" w:rsidP="00742913">
            <w:r>
              <w:t xml:space="preserve">End of </w:t>
            </w:r>
            <w:r>
              <w:t>LKS2</w:t>
            </w:r>
          </w:p>
          <w:p w14:paraId="7932D965" w14:textId="5069737B" w:rsidR="00F9675B" w:rsidRDefault="00742913" w:rsidP="00742913">
            <w:r>
              <w:t>Pupils can:</w:t>
            </w:r>
          </w:p>
        </w:tc>
        <w:tc>
          <w:tcPr>
            <w:tcW w:w="3487" w:type="dxa"/>
          </w:tcPr>
          <w:p w14:paraId="0697BF6E" w14:textId="2711E063" w:rsidR="00742913" w:rsidRDefault="00742913" w:rsidP="00742913">
            <w:r>
              <w:t xml:space="preserve">End of </w:t>
            </w:r>
            <w:r>
              <w:t>UKS2</w:t>
            </w:r>
          </w:p>
          <w:p w14:paraId="2ECAEFA7" w14:textId="06978ADF" w:rsidR="00F9675B" w:rsidRDefault="00742913" w:rsidP="00742913">
            <w:r>
              <w:t>Pupils can:</w:t>
            </w:r>
          </w:p>
        </w:tc>
      </w:tr>
      <w:tr w:rsidR="00F9675B" w14:paraId="40CA696A" w14:textId="77777777" w:rsidTr="00F9675B">
        <w:tc>
          <w:tcPr>
            <w:tcW w:w="3487" w:type="dxa"/>
          </w:tcPr>
          <w:p w14:paraId="76D1A092" w14:textId="7AFDCDBD" w:rsidR="00F9675B" w:rsidRDefault="00F9675B">
            <w:r w:rsidRPr="00F9675B">
              <w:rPr>
                <w:color w:val="7030A0"/>
              </w:rPr>
              <w:t xml:space="preserve">Making sense of beliefs </w:t>
            </w:r>
            <w:r w:rsidRPr="00F9675B">
              <w:t xml:space="preserve">Identifying and making sense of religious and non-religious beliefs and concepts; understanding what these beliefs mean within their traditions; recognising how and why sources of authority (such </w:t>
            </w:r>
            <w:r w:rsidRPr="00F9675B">
              <w:lastRenderedPageBreak/>
              <w:t>as texts) are used, expressed and interpreted in different ways, and developing skills of interpretation.</w:t>
            </w:r>
          </w:p>
        </w:tc>
        <w:tc>
          <w:tcPr>
            <w:tcW w:w="3487" w:type="dxa"/>
          </w:tcPr>
          <w:p w14:paraId="4FCB5E86" w14:textId="77777777" w:rsidR="004B50C1" w:rsidRDefault="004B50C1" w:rsidP="004B50C1">
            <w:r>
              <w:lastRenderedPageBreak/>
              <w:t>• identify core beliefs and concepts studied and give a simple description of what they mean</w:t>
            </w:r>
          </w:p>
          <w:p w14:paraId="47F619EA" w14:textId="77777777" w:rsidR="004B50C1" w:rsidRDefault="004B50C1" w:rsidP="004B50C1">
            <w:r>
              <w:t>• give examples of how stories show what people believe (e.g. the meaning behind a festival)</w:t>
            </w:r>
          </w:p>
          <w:p w14:paraId="6309EEA8" w14:textId="474CFAAD" w:rsidR="00F9675B" w:rsidRDefault="004B50C1" w:rsidP="004B50C1">
            <w:r>
              <w:lastRenderedPageBreak/>
              <w:t>• give clear, simple accounts of what stories and other texts mean to believers</w:t>
            </w:r>
          </w:p>
        </w:tc>
        <w:tc>
          <w:tcPr>
            <w:tcW w:w="3487" w:type="dxa"/>
          </w:tcPr>
          <w:p w14:paraId="0E90CE18" w14:textId="77777777" w:rsidR="00742913" w:rsidRDefault="00742913" w:rsidP="00742913">
            <w:r>
              <w:lastRenderedPageBreak/>
              <w:t>• identify and describe the core beliefs and concepts studied</w:t>
            </w:r>
          </w:p>
          <w:p w14:paraId="643F2604" w14:textId="77777777" w:rsidR="00742913" w:rsidRDefault="00742913" w:rsidP="00742913">
            <w:r>
              <w:t>• make clear links between texts/ sources of authority and the core concepts studied</w:t>
            </w:r>
          </w:p>
          <w:p w14:paraId="0F159959" w14:textId="65A2433D" w:rsidR="00F9675B" w:rsidRDefault="00742913" w:rsidP="00742913">
            <w:r>
              <w:t xml:space="preserve">• offer informed suggestions about what texts/sources of authority can mean and give </w:t>
            </w:r>
            <w:r>
              <w:lastRenderedPageBreak/>
              <w:t>examples of what these sources mean to believers</w:t>
            </w:r>
          </w:p>
        </w:tc>
        <w:tc>
          <w:tcPr>
            <w:tcW w:w="3487" w:type="dxa"/>
          </w:tcPr>
          <w:p w14:paraId="2646697B" w14:textId="77777777" w:rsidR="00742913" w:rsidRDefault="00742913" w:rsidP="00742913">
            <w:r>
              <w:lastRenderedPageBreak/>
              <w:t>• identify and explain the core beliefs and concepts studied, using examples from texts/sources of authority in religions</w:t>
            </w:r>
          </w:p>
          <w:p w14:paraId="76494ECD" w14:textId="77777777" w:rsidR="00742913" w:rsidRDefault="00742913" w:rsidP="00742913">
            <w:r>
              <w:t xml:space="preserve">• describe examples of ways in which people use texts/sources </w:t>
            </w:r>
            <w:r>
              <w:lastRenderedPageBreak/>
              <w:t>of authority to make sense of core beliefs and concepts</w:t>
            </w:r>
          </w:p>
          <w:p w14:paraId="4AA8978A" w14:textId="75610B60" w:rsidR="00F9675B" w:rsidRDefault="00742913" w:rsidP="00742913">
            <w:r>
              <w:t>• give meanings for texts/sources of authority studied, comparing these ideas with some ways in which believers interpret texts/sources of authority</w:t>
            </w:r>
          </w:p>
        </w:tc>
      </w:tr>
      <w:tr w:rsidR="00F9675B" w14:paraId="4A00EB7A" w14:textId="77777777" w:rsidTr="00F9675B">
        <w:tc>
          <w:tcPr>
            <w:tcW w:w="3487" w:type="dxa"/>
          </w:tcPr>
          <w:p w14:paraId="303AF102" w14:textId="2E1FD511" w:rsidR="00F9675B" w:rsidRDefault="00F9675B">
            <w:r w:rsidRPr="00F9675B">
              <w:rPr>
                <w:color w:val="EE0000"/>
              </w:rPr>
              <w:lastRenderedPageBreak/>
              <w:t xml:space="preserve">Understanding the impact </w:t>
            </w:r>
            <w:r w:rsidRPr="00F9675B">
              <w:t>Examining how and why people put their beliefs into practice in diverse ways, within their everyday lives, within their communities and in the wider world.</w:t>
            </w:r>
          </w:p>
        </w:tc>
        <w:tc>
          <w:tcPr>
            <w:tcW w:w="3487" w:type="dxa"/>
          </w:tcPr>
          <w:p w14:paraId="021F8B85" w14:textId="77777777" w:rsidR="00742913" w:rsidRDefault="00742913" w:rsidP="00742913">
            <w:r>
              <w:t>• give examples of how people use stories, texts and teachings to guide their beliefs and actions</w:t>
            </w:r>
          </w:p>
          <w:p w14:paraId="603CA9F9" w14:textId="0F382C56" w:rsidR="00F9675B" w:rsidRDefault="00742913" w:rsidP="00742913">
            <w:r>
              <w:t>• give examples of ways in which believers put their beliefs into practice</w:t>
            </w:r>
          </w:p>
        </w:tc>
        <w:tc>
          <w:tcPr>
            <w:tcW w:w="3487" w:type="dxa"/>
          </w:tcPr>
          <w:p w14:paraId="465EBC3C" w14:textId="77777777" w:rsidR="00742913" w:rsidRDefault="00742913" w:rsidP="00742913">
            <w:r>
              <w:t>• make simple links between stories, teachings and concepts studied and how people live, individually and in communities</w:t>
            </w:r>
          </w:p>
          <w:p w14:paraId="3B6831CC" w14:textId="77777777" w:rsidR="00742913" w:rsidRDefault="00742913" w:rsidP="00742913">
            <w:r>
              <w:t>• describe how people show their beliefs in how they worship and in the way they live</w:t>
            </w:r>
          </w:p>
          <w:p w14:paraId="1251A3E8" w14:textId="274B3D72" w:rsidR="00F9675B" w:rsidRDefault="00742913" w:rsidP="00742913">
            <w:r>
              <w:t>• identify some differences in how people put their beliefs into practice</w:t>
            </w:r>
          </w:p>
        </w:tc>
        <w:tc>
          <w:tcPr>
            <w:tcW w:w="3487" w:type="dxa"/>
          </w:tcPr>
          <w:p w14:paraId="28E2741D" w14:textId="77777777" w:rsidR="00742913" w:rsidRDefault="00742913" w:rsidP="00742913">
            <w:r>
              <w:t>• make clear connections between what people believe and how they live, individually and in communities</w:t>
            </w:r>
          </w:p>
          <w:p w14:paraId="6109A4B7" w14:textId="128D454B" w:rsidR="00F9675B" w:rsidRDefault="00742913" w:rsidP="00742913">
            <w:r>
              <w:t>• using evidence and examples, show how and why people put their beliefs into practice in different ways, e.g. indifferent communities, denominations or cultures</w:t>
            </w:r>
          </w:p>
        </w:tc>
      </w:tr>
      <w:tr w:rsidR="00F9675B" w14:paraId="79B0247E" w14:textId="77777777" w:rsidTr="00F9675B">
        <w:tc>
          <w:tcPr>
            <w:tcW w:w="3487" w:type="dxa"/>
          </w:tcPr>
          <w:p w14:paraId="20568FD9" w14:textId="7D4C440E" w:rsidR="00F9675B" w:rsidRDefault="004B50C1">
            <w:r w:rsidRPr="004B50C1">
              <w:rPr>
                <w:color w:val="00B050"/>
              </w:rPr>
              <w:t xml:space="preserve">Making connections </w:t>
            </w:r>
            <w:r w:rsidRPr="004B50C1">
              <w:t>Evaluating, reflecting on and connecting the beliefs and practices studied; allowing pupils to challenge ideas studied, and the ideas studied to challenge pupils’ thinking; discerning possible connections between these and pupils’ own lives and ways of understanding the world.</w:t>
            </w:r>
          </w:p>
        </w:tc>
        <w:tc>
          <w:tcPr>
            <w:tcW w:w="3487" w:type="dxa"/>
          </w:tcPr>
          <w:p w14:paraId="38C960EF" w14:textId="77777777" w:rsidR="00742913" w:rsidRDefault="00742913" w:rsidP="00742913">
            <w:r>
              <w:t>• think, talk and ask questions about whether the ideas they have been studying, have something to say to them</w:t>
            </w:r>
          </w:p>
          <w:p w14:paraId="33D93A38" w14:textId="2098796F" w:rsidR="00F9675B" w:rsidRDefault="00742913" w:rsidP="00742913">
            <w:r>
              <w:t>• give a good reason for the views they have and the connections they make</w:t>
            </w:r>
          </w:p>
        </w:tc>
        <w:tc>
          <w:tcPr>
            <w:tcW w:w="3487" w:type="dxa"/>
          </w:tcPr>
          <w:p w14:paraId="6A34CB75" w14:textId="77777777" w:rsidR="00742913" w:rsidRDefault="00742913" w:rsidP="00742913">
            <w:r>
              <w:t>• make links between some of the beliefs and practices studied and life in the world today, expressing some ideas of their own clearly</w:t>
            </w:r>
          </w:p>
          <w:p w14:paraId="066E2937" w14:textId="77777777" w:rsidR="00742913" w:rsidRDefault="00742913" w:rsidP="00742913">
            <w:r>
              <w:t>• raise important questions and suggest answers about how far the beliefs and practices studied might make a difference to how pupils think and live</w:t>
            </w:r>
          </w:p>
          <w:p w14:paraId="2F9B4DA3" w14:textId="4B2FD110" w:rsidR="00F9675B" w:rsidRDefault="00742913" w:rsidP="00742913">
            <w:r>
              <w:lastRenderedPageBreak/>
              <w:t>• give good reasons for the views they have and the connections they make</w:t>
            </w:r>
          </w:p>
        </w:tc>
        <w:tc>
          <w:tcPr>
            <w:tcW w:w="3487" w:type="dxa"/>
          </w:tcPr>
          <w:p w14:paraId="717A8CE0" w14:textId="77777777" w:rsidR="00742913" w:rsidRDefault="00742913" w:rsidP="00742913">
            <w:r>
              <w:lastRenderedPageBreak/>
              <w:t>• make connections between the beliefs and practices studied, evaluating and explaining their importance to different people (e.g. believers and atheists)</w:t>
            </w:r>
          </w:p>
          <w:p w14:paraId="057B55C1" w14:textId="77777777" w:rsidR="00742913" w:rsidRDefault="00742913" w:rsidP="00742913">
            <w:r>
              <w:t xml:space="preserve">• reflect on and articulate lessons people might gain from the beliefs/practices studied, including their own responses, </w:t>
            </w:r>
            <w:r>
              <w:lastRenderedPageBreak/>
              <w:t>recognising that others may think differently</w:t>
            </w:r>
          </w:p>
          <w:p w14:paraId="73FE3124" w14:textId="679581A3" w:rsidR="00F9675B" w:rsidRDefault="00742913" w:rsidP="00742913">
            <w:r>
              <w:t>• consider and weigh up how ideas studied in this unit relate to their own experiences and experiences of the world today, developing insights of their own and giving good reasons for the views they have and the connections they make</w:t>
            </w:r>
          </w:p>
        </w:tc>
      </w:tr>
    </w:tbl>
    <w:p w14:paraId="0752D263" w14:textId="77777777" w:rsidR="00F9675B" w:rsidRDefault="00F9675B"/>
    <w:p w14:paraId="76A3787A" w14:textId="77777777" w:rsidR="007C79E8" w:rsidRDefault="007C79E8"/>
    <w:p w14:paraId="78AEFFF5" w14:textId="77777777" w:rsidR="007C79E8" w:rsidRDefault="007C79E8"/>
    <w:p w14:paraId="0239188E" w14:textId="77777777" w:rsidR="00A00580" w:rsidRDefault="00A00580"/>
    <w:p w14:paraId="62B37607" w14:textId="77777777" w:rsidR="00A00580" w:rsidRDefault="00A00580"/>
    <w:sectPr w:rsidR="00A00580" w:rsidSect="00E239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261"/>
    <w:multiLevelType w:val="hybridMultilevel"/>
    <w:tmpl w:val="944A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3681C"/>
    <w:multiLevelType w:val="hybridMultilevel"/>
    <w:tmpl w:val="A3D4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4353E"/>
    <w:multiLevelType w:val="hybridMultilevel"/>
    <w:tmpl w:val="A69C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C4335"/>
    <w:multiLevelType w:val="hybridMultilevel"/>
    <w:tmpl w:val="EFFC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70BAD"/>
    <w:multiLevelType w:val="hybridMultilevel"/>
    <w:tmpl w:val="46B8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24756"/>
    <w:multiLevelType w:val="hybridMultilevel"/>
    <w:tmpl w:val="0694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FD6F7C"/>
    <w:multiLevelType w:val="hybridMultilevel"/>
    <w:tmpl w:val="4FE0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71886"/>
    <w:multiLevelType w:val="hybridMultilevel"/>
    <w:tmpl w:val="E378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029394">
    <w:abstractNumId w:val="0"/>
  </w:num>
  <w:num w:numId="2" w16cid:durableId="1508132606">
    <w:abstractNumId w:val="4"/>
  </w:num>
  <w:num w:numId="3" w16cid:durableId="671104521">
    <w:abstractNumId w:val="1"/>
  </w:num>
  <w:num w:numId="4" w16cid:durableId="545063408">
    <w:abstractNumId w:val="7"/>
  </w:num>
  <w:num w:numId="5" w16cid:durableId="1541547841">
    <w:abstractNumId w:val="3"/>
  </w:num>
  <w:num w:numId="6" w16cid:durableId="1933314063">
    <w:abstractNumId w:val="5"/>
  </w:num>
  <w:num w:numId="7" w16cid:durableId="859777274">
    <w:abstractNumId w:val="2"/>
  </w:num>
  <w:num w:numId="8" w16cid:durableId="390278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C0"/>
    <w:rsid w:val="00016D93"/>
    <w:rsid w:val="000238B6"/>
    <w:rsid w:val="0002474A"/>
    <w:rsid w:val="000264EE"/>
    <w:rsid w:val="0003576F"/>
    <w:rsid w:val="00055F5B"/>
    <w:rsid w:val="000726BF"/>
    <w:rsid w:val="00073721"/>
    <w:rsid w:val="00081D92"/>
    <w:rsid w:val="000C699E"/>
    <w:rsid w:val="000C7E35"/>
    <w:rsid w:val="000E119A"/>
    <w:rsid w:val="000E533B"/>
    <w:rsid w:val="00100435"/>
    <w:rsid w:val="0011749C"/>
    <w:rsid w:val="00125C2B"/>
    <w:rsid w:val="00141482"/>
    <w:rsid w:val="00173F0D"/>
    <w:rsid w:val="001825FF"/>
    <w:rsid w:val="0018520F"/>
    <w:rsid w:val="001865B9"/>
    <w:rsid w:val="0019106D"/>
    <w:rsid w:val="001937A9"/>
    <w:rsid w:val="001B0078"/>
    <w:rsid w:val="001B316F"/>
    <w:rsid w:val="001B4457"/>
    <w:rsid w:val="001B6B3A"/>
    <w:rsid w:val="001C0021"/>
    <w:rsid w:val="001D138A"/>
    <w:rsid w:val="001D22A1"/>
    <w:rsid w:val="001D5BDF"/>
    <w:rsid w:val="001E23A4"/>
    <w:rsid w:val="001E5AD3"/>
    <w:rsid w:val="001F0568"/>
    <w:rsid w:val="001F21FF"/>
    <w:rsid w:val="0020330A"/>
    <w:rsid w:val="00214DDF"/>
    <w:rsid w:val="00216935"/>
    <w:rsid w:val="00217250"/>
    <w:rsid w:val="0022337B"/>
    <w:rsid w:val="00245CAD"/>
    <w:rsid w:val="002465C6"/>
    <w:rsid w:val="00270B74"/>
    <w:rsid w:val="002A0BF4"/>
    <w:rsid w:val="002A131A"/>
    <w:rsid w:val="002B1709"/>
    <w:rsid w:val="002C2C90"/>
    <w:rsid w:val="002D25C2"/>
    <w:rsid w:val="002F6D9D"/>
    <w:rsid w:val="003105AD"/>
    <w:rsid w:val="0034252B"/>
    <w:rsid w:val="0039590C"/>
    <w:rsid w:val="003A65E1"/>
    <w:rsid w:val="003C4092"/>
    <w:rsid w:val="003F21AF"/>
    <w:rsid w:val="003F3970"/>
    <w:rsid w:val="004014CB"/>
    <w:rsid w:val="00401E35"/>
    <w:rsid w:val="004029A0"/>
    <w:rsid w:val="004102D0"/>
    <w:rsid w:val="00417624"/>
    <w:rsid w:val="00426A49"/>
    <w:rsid w:val="004273A9"/>
    <w:rsid w:val="00432D8D"/>
    <w:rsid w:val="00444075"/>
    <w:rsid w:val="00452CFF"/>
    <w:rsid w:val="00455D90"/>
    <w:rsid w:val="004560EB"/>
    <w:rsid w:val="004973CE"/>
    <w:rsid w:val="004A38E8"/>
    <w:rsid w:val="004A638E"/>
    <w:rsid w:val="004A6439"/>
    <w:rsid w:val="004B0FFC"/>
    <w:rsid w:val="004B50C1"/>
    <w:rsid w:val="004D1CE7"/>
    <w:rsid w:val="004E292D"/>
    <w:rsid w:val="004E5345"/>
    <w:rsid w:val="004E71C3"/>
    <w:rsid w:val="004E7BFA"/>
    <w:rsid w:val="004F2E10"/>
    <w:rsid w:val="0052466C"/>
    <w:rsid w:val="005270CF"/>
    <w:rsid w:val="0054282D"/>
    <w:rsid w:val="00544767"/>
    <w:rsid w:val="00554FEE"/>
    <w:rsid w:val="00565E00"/>
    <w:rsid w:val="005701BE"/>
    <w:rsid w:val="00571013"/>
    <w:rsid w:val="005712CC"/>
    <w:rsid w:val="00572E9A"/>
    <w:rsid w:val="00574CD1"/>
    <w:rsid w:val="005827CB"/>
    <w:rsid w:val="0059386E"/>
    <w:rsid w:val="005947A7"/>
    <w:rsid w:val="00595257"/>
    <w:rsid w:val="005A06EA"/>
    <w:rsid w:val="005A72CA"/>
    <w:rsid w:val="005B3454"/>
    <w:rsid w:val="005C5DE4"/>
    <w:rsid w:val="005D0A56"/>
    <w:rsid w:val="005D6B9A"/>
    <w:rsid w:val="005F63AD"/>
    <w:rsid w:val="005F7849"/>
    <w:rsid w:val="005F7D6F"/>
    <w:rsid w:val="00600438"/>
    <w:rsid w:val="006076FD"/>
    <w:rsid w:val="00641788"/>
    <w:rsid w:val="00642362"/>
    <w:rsid w:val="0065363B"/>
    <w:rsid w:val="00663FC4"/>
    <w:rsid w:val="00672230"/>
    <w:rsid w:val="00676F6D"/>
    <w:rsid w:val="006817B1"/>
    <w:rsid w:val="006876D8"/>
    <w:rsid w:val="006B4ED0"/>
    <w:rsid w:val="006C78A2"/>
    <w:rsid w:val="006D10B2"/>
    <w:rsid w:val="006D57A0"/>
    <w:rsid w:val="006E5444"/>
    <w:rsid w:val="006F721B"/>
    <w:rsid w:val="007006B4"/>
    <w:rsid w:val="00704567"/>
    <w:rsid w:val="00716682"/>
    <w:rsid w:val="00722BF8"/>
    <w:rsid w:val="007267DA"/>
    <w:rsid w:val="00727BB5"/>
    <w:rsid w:val="00742913"/>
    <w:rsid w:val="00743046"/>
    <w:rsid w:val="00744EDE"/>
    <w:rsid w:val="0075184E"/>
    <w:rsid w:val="00753548"/>
    <w:rsid w:val="00760C3C"/>
    <w:rsid w:val="00765F4E"/>
    <w:rsid w:val="00797E04"/>
    <w:rsid w:val="007A1905"/>
    <w:rsid w:val="007B2D81"/>
    <w:rsid w:val="007B620B"/>
    <w:rsid w:val="007C79E8"/>
    <w:rsid w:val="007D3EF6"/>
    <w:rsid w:val="007D5116"/>
    <w:rsid w:val="007E6CAD"/>
    <w:rsid w:val="007F0118"/>
    <w:rsid w:val="008139E0"/>
    <w:rsid w:val="00830F7A"/>
    <w:rsid w:val="00845B69"/>
    <w:rsid w:val="008800F0"/>
    <w:rsid w:val="008A78FC"/>
    <w:rsid w:val="008B2079"/>
    <w:rsid w:val="008B564C"/>
    <w:rsid w:val="008F3635"/>
    <w:rsid w:val="008F45FF"/>
    <w:rsid w:val="00901A85"/>
    <w:rsid w:val="00903853"/>
    <w:rsid w:val="009101C9"/>
    <w:rsid w:val="0091625C"/>
    <w:rsid w:val="00923641"/>
    <w:rsid w:val="00932B87"/>
    <w:rsid w:val="00952563"/>
    <w:rsid w:val="0096223E"/>
    <w:rsid w:val="00973BA2"/>
    <w:rsid w:val="0097424F"/>
    <w:rsid w:val="00976A24"/>
    <w:rsid w:val="00976F12"/>
    <w:rsid w:val="0099048F"/>
    <w:rsid w:val="009972B7"/>
    <w:rsid w:val="009A2E00"/>
    <w:rsid w:val="009A5645"/>
    <w:rsid w:val="009C2D31"/>
    <w:rsid w:val="009C41C0"/>
    <w:rsid w:val="009D0BF4"/>
    <w:rsid w:val="009E1859"/>
    <w:rsid w:val="009E335D"/>
    <w:rsid w:val="009F28B2"/>
    <w:rsid w:val="00A00580"/>
    <w:rsid w:val="00A00704"/>
    <w:rsid w:val="00A02EE4"/>
    <w:rsid w:val="00A04A18"/>
    <w:rsid w:val="00A3164A"/>
    <w:rsid w:val="00A478A0"/>
    <w:rsid w:val="00A5172B"/>
    <w:rsid w:val="00A6417B"/>
    <w:rsid w:val="00A64327"/>
    <w:rsid w:val="00A774C6"/>
    <w:rsid w:val="00A77BF7"/>
    <w:rsid w:val="00A83AB4"/>
    <w:rsid w:val="00A9347D"/>
    <w:rsid w:val="00A9566B"/>
    <w:rsid w:val="00AA64F7"/>
    <w:rsid w:val="00AD4DAA"/>
    <w:rsid w:val="00AF4A7A"/>
    <w:rsid w:val="00B0604F"/>
    <w:rsid w:val="00B10328"/>
    <w:rsid w:val="00B20325"/>
    <w:rsid w:val="00B413FD"/>
    <w:rsid w:val="00B47818"/>
    <w:rsid w:val="00B55898"/>
    <w:rsid w:val="00B74C46"/>
    <w:rsid w:val="00B77865"/>
    <w:rsid w:val="00B84F8F"/>
    <w:rsid w:val="00BA2521"/>
    <w:rsid w:val="00BB5696"/>
    <w:rsid w:val="00BC1453"/>
    <w:rsid w:val="00BC33D7"/>
    <w:rsid w:val="00BE3354"/>
    <w:rsid w:val="00BE4915"/>
    <w:rsid w:val="00BF4650"/>
    <w:rsid w:val="00C04D63"/>
    <w:rsid w:val="00C334FF"/>
    <w:rsid w:val="00C36167"/>
    <w:rsid w:val="00C4067B"/>
    <w:rsid w:val="00C52092"/>
    <w:rsid w:val="00C62FCF"/>
    <w:rsid w:val="00C7018D"/>
    <w:rsid w:val="00C908C9"/>
    <w:rsid w:val="00CC6568"/>
    <w:rsid w:val="00CD061A"/>
    <w:rsid w:val="00CD7712"/>
    <w:rsid w:val="00CE2033"/>
    <w:rsid w:val="00CF3520"/>
    <w:rsid w:val="00CF6D4D"/>
    <w:rsid w:val="00D16D77"/>
    <w:rsid w:val="00D203BD"/>
    <w:rsid w:val="00D37A51"/>
    <w:rsid w:val="00D45AA2"/>
    <w:rsid w:val="00D522D2"/>
    <w:rsid w:val="00D70499"/>
    <w:rsid w:val="00D7357A"/>
    <w:rsid w:val="00D93CD1"/>
    <w:rsid w:val="00DA6A17"/>
    <w:rsid w:val="00DD5DB4"/>
    <w:rsid w:val="00DF6E86"/>
    <w:rsid w:val="00E10D36"/>
    <w:rsid w:val="00E239C0"/>
    <w:rsid w:val="00E23A3A"/>
    <w:rsid w:val="00E23A60"/>
    <w:rsid w:val="00E242EF"/>
    <w:rsid w:val="00E273F5"/>
    <w:rsid w:val="00E37047"/>
    <w:rsid w:val="00E51416"/>
    <w:rsid w:val="00E53C0B"/>
    <w:rsid w:val="00E558E0"/>
    <w:rsid w:val="00E56DED"/>
    <w:rsid w:val="00E7104F"/>
    <w:rsid w:val="00E7335B"/>
    <w:rsid w:val="00E818D5"/>
    <w:rsid w:val="00E8368E"/>
    <w:rsid w:val="00E8423B"/>
    <w:rsid w:val="00EA2DC7"/>
    <w:rsid w:val="00EC2E4E"/>
    <w:rsid w:val="00EC72E1"/>
    <w:rsid w:val="00ED32CC"/>
    <w:rsid w:val="00EF476E"/>
    <w:rsid w:val="00EF7241"/>
    <w:rsid w:val="00F02468"/>
    <w:rsid w:val="00F14CDB"/>
    <w:rsid w:val="00F4561D"/>
    <w:rsid w:val="00F47AD3"/>
    <w:rsid w:val="00F62C3D"/>
    <w:rsid w:val="00F870F6"/>
    <w:rsid w:val="00F9675B"/>
    <w:rsid w:val="00FA0641"/>
    <w:rsid w:val="00FA3B4A"/>
    <w:rsid w:val="00FC5E1E"/>
    <w:rsid w:val="00FD136F"/>
    <w:rsid w:val="00FD1409"/>
    <w:rsid w:val="00FD1F16"/>
    <w:rsid w:val="00FD55FD"/>
    <w:rsid w:val="00FE180A"/>
    <w:rsid w:val="00FE6EE7"/>
    <w:rsid w:val="00FF0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003831A"/>
  <w15:chartTrackingRefBased/>
  <w15:docId w15:val="{29453753-6853-40B1-ABB7-D0E0FA93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FF"/>
  </w:style>
  <w:style w:type="paragraph" w:styleId="Heading1">
    <w:name w:val="heading 1"/>
    <w:basedOn w:val="Normal"/>
    <w:next w:val="Normal"/>
    <w:link w:val="Heading1Char"/>
    <w:uiPriority w:val="9"/>
    <w:qFormat/>
    <w:rsid w:val="00E23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C0"/>
    <w:rPr>
      <w:rFonts w:eastAsiaTheme="majorEastAsia" w:cstheme="majorBidi"/>
      <w:color w:val="272727" w:themeColor="text1" w:themeTint="D8"/>
    </w:rPr>
  </w:style>
  <w:style w:type="paragraph" w:styleId="Title">
    <w:name w:val="Title"/>
    <w:basedOn w:val="Normal"/>
    <w:next w:val="Normal"/>
    <w:link w:val="TitleChar"/>
    <w:uiPriority w:val="10"/>
    <w:qFormat/>
    <w:rsid w:val="00E23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C0"/>
    <w:pPr>
      <w:spacing w:before="160"/>
      <w:jc w:val="center"/>
    </w:pPr>
    <w:rPr>
      <w:i/>
      <w:iCs/>
      <w:color w:val="404040" w:themeColor="text1" w:themeTint="BF"/>
    </w:rPr>
  </w:style>
  <w:style w:type="character" w:customStyle="1" w:styleId="QuoteChar">
    <w:name w:val="Quote Char"/>
    <w:basedOn w:val="DefaultParagraphFont"/>
    <w:link w:val="Quote"/>
    <w:uiPriority w:val="29"/>
    <w:rsid w:val="00E239C0"/>
    <w:rPr>
      <w:i/>
      <w:iCs/>
      <w:color w:val="404040" w:themeColor="text1" w:themeTint="BF"/>
    </w:rPr>
  </w:style>
  <w:style w:type="paragraph" w:styleId="ListParagraph">
    <w:name w:val="List Paragraph"/>
    <w:basedOn w:val="Normal"/>
    <w:uiPriority w:val="34"/>
    <w:qFormat/>
    <w:rsid w:val="00E239C0"/>
    <w:pPr>
      <w:ind w:left="720"/>
      <w:contextualSpacing/>
    </w:pPr>
  </w:style>
  <w:style w:type="character" w:styleId="IntenseEmphasis">
    <w:name w:val="Intense Emphasis"/>
    <w:basedOn w:val="DefaultParagraphFont"/>
    <w:uiPriority w:val="21"/>
    <w:qFormat/>
    <w:rsid w:val="00E239C0"/>
    <w:rPr>
      <w:i/>
      <w:iCs/>
      <w:color w:val="0F4761" w:themeColor="accent1" w:themeShade="BF"/>
    </w:rPr>
  </w:style>
  <w:style w:type="paragraph" w:styleId="IntenseQuote">
    <w:name w:val="Intense Quote"/>
    <w:basedOn w:val="Normal"/>
    <w:next w:val="Normal"/>
    <w:link w:val="IntenseQuoteChar"/>
    <w:uiPriority w:val="30"/>
    <w:qFormat/>
    <w:rsid w:val="00E23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C0"/>
    <w:rPr>
      <w:i/>
      <w:iCs/>
      <w:color w:val="0F4761" w:themeColor="accent1" w:themeShade="BF"/>
    </w:rPr>
  </w:style>
  <w:style w:type="character" w:styleId="IntenseReference">
    <w:name w:val="Intense Reference"/>
    <w:basedOn w:val="DefaultParagraphFont"/>
    <w:uiPriority w:val="32"/>
    <w:qFormat/>
    <w:rsid w:val="00E239C0"/>
    <w:rPr>
      <w:b/>
      <w:bCs/>
      <w:smallCaps/>
      <w:color w:val="0F4761" w:themeColor="accent1" w:themeShade="BF"/>
      <w:spacing w:val="5"/>
    </w:rPr>
  </w:style>
  <w:style w:type="table" w:styleId="TableGrid">
    <w:name w:val="Table Grid"/>
    <w:basedOn w:val="TableNormal"/>
    <w:uiPriority w:val="39"/>
    <w:rsid w:val="00E23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3404</Characters>
  <Application>Microsoft Office Word</Application>
  <DocSecurity>0</DocSecurity>
  <Lines>425</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2025-09-24T07:13:00Z</dcterms:created>
  <dcterms:modified xsi:type="dcterms:W3CDTF">2025-09-24T07:13:00Z</dcterms:modified>
</cp:coreProperties>
</file>